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A20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A206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A206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A20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</w:t>
      </w:r>
      <w:r w:rsidR="005A2063">
        <w:rPr>
          <w:rFonts w:ascii="Arial" w:hAnsi="Arial" w:cs="Arial"/>
        </w:rPr>
        <w:t>716</w:t>
      </w:r>
    </w:p>
    <w:p w:rsidR="003434DF" w:rsidRDefault="00C20E93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941C4">
        <w:rPr>
          <w:rFonts w:ascii="Arial" w:hAnsi="Arial" w:cs="Arial"/>
        </w:rPr>
        <w:t>;</w:t>
      </w:r>
    </w:p>
    <w:p w:rsidR="00A019C9" w:rsidRDefault="001941C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</w:t>
      </w:r>
      <w:r w:rsidR="00C33980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№760</w:t>
      </w:r>
      <w:r w:rsidR="00A019C9">
        <w:rPr>
          <w:rFonts w:ascii="Arial" w:hAnsi="Arial" w:cs="Arial"/>
        </w:rPr>
        <w:t>,</w:t>
      </w:r>
    </w:p>
    <w:p w:rsidR="00C33980" w:rsidRDefault="00A019C9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C33980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C33980">
        <w:rPr>
          <w:rFonts w:ascii="Arial" w:hAnsi="Arial" w:cs="Arial"/>
        </w:rPr>
        <w:t>,</w:t>
      </w:r>
    </w:p>
    <w:p w:rsidR="009A6B7C" w:rsidRDefault="00C33980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9A6B7C">
        <w:rPr>
          <w:rFonts w:ascii="Arial" w:hAnsi="Arial" w:cs="Arial"/>
        </w:rPr>
        <w:t>,</w:t>
      </w:r>
    </w:p>
    <w:p w:rsidR="00C20E93" w:rsidRDefault="009A6B7C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№794</w:t>
      </w:r>
      <w:r w:rsidR="00C20E93">
        <w:rPr>
          <w:rFonts w:ascii="Arial" w:hAnsi="Arial" w:cs="Arial"/>
        </w:rPr>
        <w:t>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C62A98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5A2063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5A2063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5A2063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196"/>
        <w:gridCol w:w="1984"/>
        <w:gridCol w:w="1418"/>
        <w:gridCol w:w="1559"/>
        <w:gridCol w:w="1559"/>
        <w:gridCol w:w="1560"/>
      </w:tblGrid>
      <w:tr w:rsidR="009A6B7C" w:rsidRPr="0090032E" w:rsidTr="009E6AF3">
        <w:trPr>
          <w:trHeight w:val="276"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9A6B7C" w:rsidRPr="0090032E" w:rsidTr="009E6AF3">
        <w:trPr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7C" w:rsidRPr="0090032E" w:rsidRDefault="009A6B7C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4 296 784,0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4 080 307,5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4 169 129,8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1 335 717,5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471 505,8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460 791,4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2 723 196,6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психолого-педагогического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01.2.13.00000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130 785,3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дополнительного образования и обеспечение деятельности (оказание услуг)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01.3.11.00000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58 724,1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 по организации отдыха, оздоровления и занятости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38 569,5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38 426,1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38 533,8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2 728,2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16 538,2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библиотек литературой по проблеме наркомании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03.2.41.00000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7 951,6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03.4.12.20920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и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03.5.12.00000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200 014,9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A6B7C" w:rsidRPr="0090032E" w:rsidTr="009E6AF3">
        <w:trPr>
          <w:trHeight w:val="1046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оказание материальной помощи на ремонт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(восстановление) жилого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04.3.31.47300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04.6.6Д.S748V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163 149,5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71 031,9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05.0.12.20110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300 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15,7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18 988,9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16 724,2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69 385,1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69 385,1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69 366,5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7 350,7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06.0.05.25050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63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63 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90032E">
              <w:rPr>
                <w:rFonts w:ascii="Arial" w:hAnsi="Arial" w:cs="Arial"/>
                <w:color w:val="000000"/>
              </w:rPr>
              <w:t>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46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90032E">
              <w:rPr>
                <w:rFonts w:ascii="Arial" w:hAnsi="Arial" w:cs="Arial"/>
                <w:color w:val="000000"/>
              </w:rPr>
              <w:t>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94 701,2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16 784,1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77 917,1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1 928,7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862 101,8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290 033,4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296 689,1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государственных праздников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и общественно значимых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09.3.36.00000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11 655,5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11 655,5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29 779,3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23 759,9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09.4.42.25220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34 030,7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33 546,7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23 318,2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МАУ "Арзамасский информационный центр" на выполнение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11.0.12.00000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287 289,0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268 276,1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спортинвентаря и спортоборудования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163 707,6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Развитие и совершенствование учебно-консультационных пунктов, организация подготовки и обучения сил и средств ГО, населения в области ГО и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защиты от ЧС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13.0.14.00000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33 327,8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93 695,7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389 224,7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202 917,2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139 283,6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Выполнение работ по ремонту автомобильных дорог общего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14.0.01.9Д011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249 941,1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113 233,6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14.0.02.9Д111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156 393,5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112 315,1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проведение мероприятий по сохранению объектов культурного наследия, относящихся к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15.0.12.S2130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441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90032E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5 886,4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реализацию мероприятий по исполнению требований по антитеррористической защищенности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объектов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18.0.22.S2250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30 118,6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48 549,6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18 624,5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18 624,5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выполнения мероприятий мобилизационной подготовки и 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28.0.00.00000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115 004,1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69 031,7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815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815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297 380,8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258 779,5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253 900,6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77.7.01.01000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44 552,6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9A6B7C" w:rsidRPr="0090032E" w:rsidTr="009E6AF3">
        <w:trPr>
          <w:trHeight w:val="677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129 027,4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1 094,7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77.7.03.73160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обеспечение детей-сирот и детей, оставшихся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77.7.03.Д0820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41 874,6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126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Субсидии на возмещение затрат в связи с выполнением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77.7.06.60120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B7C" w:rsidRPr="00810A71" w:rsidRDefault="009A6B7C" w:rsidP="009E6AF3">
            <w:pPr>
              <w:rPr>
                <w:rFonts w:ascii="Arial" w:hAnsi="Arial" w:cs="Arial"/>
                <w:bCs/>
                <w:color w:val="000000"/>
              </w:rPr>
            </w:pPr>
            <w:r w:rsidRPr="00810A71">
              <w:rPr>
                <w:rFonts w:ascii="Arial" w:hAnsi="Arial" w:cs="Arial"/>
                <w:bCs/>
              </w:rPr>
              <w:t xml:space="preserve">Расходы на укрепление и развитие спортивных площадок (сооружений) муниципальных учреждений Нижегородской </w:t>
            </w:r>
            <w:r w:rsidRPr="00810A71">
              <w:rPr>
                <w:rFonts w:ascii="Arial" w:hAnsi="Arial" w:cs="Arial"/>
                <w:bCs/>
              </w:rPr>
              <w:lastRenderedPageBreak/>
              <w:t>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810A71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bCs/>
                <w:color w:val="000000"/>
              </w:rPr>
              <w:lastRenderedPageBreak/>
              <w:t>77.7.06.</w:t>
            </w:r>
            <w:r w:rsidRPr="00810A71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810A71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810A71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810A71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color w:val="000000"/>
              </w:rPr>
              <w:t>1 687,8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810A71" w:rsidRDefault="009A6B7C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5453D5" w:rsidRDefault="009A6B7C" w:rsidP="009E6AF3">
            <w:pPr>
              <w:rPr>
                <w:rFonts w:ascii="Arial" w:hAnsi="Arial" w:cs="Arial"/>
                <w:color w:val="000000"/>
              </w:rPr>
            </w:pP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B7C" w:rsidRPr="00354FE6" w:rsidRDefault="009A6B7C" w:rsidP="009E6AF3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810A71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bCs/>
                <w:color w:val="000000"/>
              </w:rPr>
              <w:t>77.7.06.</w:t>
            </w:r>
            <w:r w:rsidRPr="00810A71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810A71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810A71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354FE6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1 687,8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354FE6" w:rsidRDefault="009A6B7C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7C" w:rsidRPr="005453D5" w:rsidRDefault="009A6B7C" w:rsidP="009E6AF3">
            <w:pPr>
              <w:rPr>
                <w:rFonts w:ascii="Arial" w:hAnsi="Arial" w:cs="Arial"/>
                <w:color w:val="000000"/>
              </w:rPr>
            </w:pP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77.7.07.S2605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87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74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1019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714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Инициативный проект "Устройство тротуара по ул.Ленина от д.63 до д.126 в с.Чернуха г.о.г.Арзамас Нижегородской </w:t>
            </w:r>
            <w:r w:rsidRPr="0090032E">
              <w:rPr>
                <w:rFonts w:ascii="Arial" w:hAnsi="Arial" w:cs="Arial"/>
                <w:color w:val="000000"/>
              </w:rPr>
              <w:lastRenderedPageBreak/>
              <w:t>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lastRenderedPageBreak/>
              <w:t>77.7.07.S260К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73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A6B7C" w:rsidRPr="0090032E" w:rsidTr="009E6AF3">
        <w:trPr>
          <w:trHeight w:val="38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B7C" w:rsidRPr="0090032E" w:rsidRDefault="009A6B7C" w:rsidP="009E6AF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7C" w:rsidRPr="0090032E" w:rsidRDefault="009A6B7C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FB488A" w:rsidRDefault="00FB488A" w:rsidP="00C62A98">
      <w:pPr>
        <w:widowControl w:val="0"/>
      </w:pPr>
      <w:bookmarkStart w:id="0" w:name="_GoBack"/>
      <w:bookmarkEnd w:id="0"/>
    </w:p>
    <w:sectPr w:rsidR="00FB488A" w:rsidSect="00B54EC0">
      <w:footerReference w:type="default" r:id="rId8"/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168462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7C">
          <w:rPr>
            <w:noProof/>
          </w:rPr>
          <w:t>67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941C4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65800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34DF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2063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A6B7C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19C9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4EC0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0E93"/>
    <w:rsid w:val="00C21F26"/>
    <w:rsid w:val="00C261F6"/>
    <w:rsid w:val="00C31EEA"/>
    <w:rsid w:val="00C32D90"/>
    <w:rsid w:val="00C337EB"/>
    <w:rsid w:val="00C33980"/>
    <w:rsid w:val="00C40257"/>
    <w:rsid w:val="00C4170D"/>
    <w:rsid w:val="00C62A98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55F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D6C-449F-4BB8-B6FE-8DDEED8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C20E93"/>
  </w:style>
  <w:style w:type="paragraph" w:customStyle="1" w:styleId="xl114">
    <w:name w:val="xl11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C20E93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C20E93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C20E93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C20E93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C2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C20E93"/>
  </w:style>
  <w:style w:type="numbering" w:customStyle="1" w:styleId="73">
    <w:name w:val="Нет списка7"/>
    <w:next w:val="a3"/>
    <w:uiPriority w:val="99"/>
    <w:semiHidden/>
    <w:unhideWhenUsed/>
    <w:rsid w:val="00C20E93"/>
  </w:style>
  <w:style w:type="numbering" w:customStyle="1" w:styleId="83">
    <w:name w:val="Нет списка8"/>
    <w:next w:val="a3"/>
    <w:uiPriority w:val="99"/>
    <w:semiHidden/>
    <w:unhideWhenUsed/>
    <w:rsid w:val="00C20E93"/>
  </w:style>
  <w:style w:type="numbering" w:customStyle="1" w:styleId="91">
    <w:name w:val="Нет списка9"/>
    <w:next w:val="a3"/>
    <w:uiPriority w:val="99"/>
    <w:semiHidden/>
    <w:unhideWhenUsed/>
    <w:rsid w:val="00C20E93"/>
  </w:style>
  <w:style w:type="numbering" w:customStyle="1" w:styleId="101">
    <w:name w:val="Нет списка10"/>
    <w:next w:val="a3"/>
    <w:uiPriority w:val="99"/>
    <w:semiHidden/>
    <w:unhideWhenUsed/>
    <w:rsid w:val="00C20E93"/>
  </w:style>
  <w:style w:type="numbering" w:customStyle="1" w:styleId="132">
    <w:name w:val="Нет списка13"/>
    <w:next w:val="a3"/>
    <w:uiPriority w:val="99"/>
    <w:semiHidden/>
    <w:unhideWhenUsed/>
    <w:rsid w:val="00C20E93"/>
  </w:style>
  <w:style w:type="numbering" w:customStyle="1" w:styleId="141">
    <w:name w:val="Нет списка14"/>
    <w:next w:val="a3"/>
    <w:uiPriority w:val="99"/>
    <w:semiHidden/>
    <w:unhideWhenUsed/>
    <w:rsid w:val="00C20E93"/>
  </w:style>
  <w:style w:type="numbering" w:customStyle="1" w:styleId="151">
    <w:name w:val="Нет списка15"/>
    <w:next w:val="a3"/>
    <w:uiPriority w:val="99"/>
    <w:semiHidden/>
    <w:unhideWhenUsed/>
    <w:rsid w:val="00C20E93"/>
  </w:style>
  <w:style w:type="table" w:customStyle="1" w:styleId="44">
    <w:name w:val="Сетка таблицы4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20E93"/>
  </w:style>
  <w:style w:type="numbering" w:customStyle="1" w:styleId="171">
    <w:name w:val="Нет списка17"/>
    <w:next w:val="a3"/>
    <w:uiPriority w:val="99"/>
    <w:semiHidden/>
    <w:rsid w:val="00C20E93"/>
  </w:style>
  <w:style w:type="table" w:customStyle="1" w:styleId="64">
    <w:name w:val="Сетка таблицы6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C20E93"/>
  </w:style>
  <w:style w:type="numbering" w:customStyle="1" w:styleId="411">
    <w:name w:val="Нет списка41"/>
    <w:next w:val="a3"/>
    <w:uiPriority w:val="99"/>
    <w:semiHidden/>
    <w:unhideWhenUsed/>
    <w:rsid w:val="00C20E93"/>
  </w:style>
  <w:style w:type="numbering" w:customStyle="1" w:styleId="511">
    <w:name w:val="Нет списка51"/>
    <w:next w:val="a3"/>
    <w:semiHidden/>
    <w:rsid w:val="00C20E93"/>
  </w:style>
  <w:style w:type="table" w:customStyle="1" w:styleId="221">
    <w:name w:val="Сетка таблицы2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C20E93"/>
  </w:style>
  <w:style w:type="numbering" w:customStyle="1" w:styleId="710">
    <w:name w:val="Нет списка71"/>
    <w:next w:val="a3"/>
    <w:uiPriority w:val="99"/>
    <w:semiHidden/>
    <w:unhideWhenUsed/>
    <w:rsid w:val="00C20E93"/>
  </w:style>
  <w:style w:type="numbering" w:customStyle="1" w:styleId="810">
    <w:name w:val="Нет списка81"/>
    <w:next w:val="a3"/>
    <w:uiPriority w:val="99"/>
    <w:semiHidden/>
    <w:unhideWhenUsed/>
    <w:rsid w:val="00C20E93"/>
  </w:style>
  <w:style w:type="numbering" w:customStyle="1" w:styleId="910">
    <w:name w:val="Нет списка91"/>
    <w:next w:val="a3"/>
    <w:uiPriority w:val="99"/>
    <w:semiHidden/>
    <w:unhideWhenUsed/>
    <w:rsid w:val="00C20E93"/>
  </w:style>
  <w:style w:type="numbering" w:customStyle="1" w:styleId="1010">
    <w:name w:val="Нет списка101"/>
    <w:next w:val="a3"/>
    <w:uiPriority w:val="99"/>
    <w:semiHidden/>
    <w:unhideWhenUsed/>
    <w:rsid w:val="00C20E93"/>
  </w:style>
  <w:style w:type="numbering" w:customStyle="1" w:styleId="1210">
    <w:name w:val="Нет списка121"/>
    <w:next w:val="a3"/>
    <w:semiHidden/>
    <w:rsid w:val="00C20E93"/>
  </w:style>
  <w:style w:type="table" w:customStyle="1" w:styleId="320">
    <w:name w:val="Сетка таблицы3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C20E93"/>
  </w:style>
  <w:style w:type="numbering" w:customStyle="1" w:styleId="1410">
    <w:name w:val="Нет списка141"/>
    <w:next w:val="a3"/>
    <w:uiPriority w:val="99"/>
    <w:semiHidden/>
    <w:unhideWhenUsed/>
    <w:rsid w:val="00C20E93"/>
  </w:style>
  <w:style w:type="numbering" w:customStyle="1" w:styleId="1510">
    <w:name w:val="Нет списка151"/>
    <w:next w:val="a3"/>
    <w:uiPriority w:val="99"/>
    <w:semiHidden/>
    <w:unhideWhenUsed/>
    <w:rsid w:val="00C20E93"/>
  </w:style>
  <w:style w:type="table" w:customStyle="1" w:styleId="412">
    <w:name w:val="Сетка таблицы41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C20E93"/>
  </w:style>
  <w:style w:type="numbering" w:customStyle="1" w:styleId="191">
    <w:name w:val="Нет списка19"/>
    <w:next w:val="a3"/>
    <w:semiHidden/>
    <w:unhideWhenUsed/>
    <w:rsid w:val="00C20E93"/>
  </w:style>
  <w:style w:type="table" w:customStyle="1" w:styleId="74">
    <w:name w:val="Сетка таблицы7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C20E93"/>
  </w:style>
  <w:style w:type="numbering" w:customStyle="1" w:styleId="1100">
    <w:name w:val="Нет списка110"/>
    <w:next w:val="a3"/>
    <w:semiHidden/>
    <w:unhideWhenUsed/>
    <w:rsid w:val="00C20E93"/>
  </w:style>
  <w:style w:type="table" w:customStyle="1" w:styleId="84">
    <w:name w:val="Сетка таблицы8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C20E93"/>
  </w:style>
  <w:style w:type="numbering" w:customStyle="1" w:styleId="1130">
    <w:name w:val="Нет списка113"/>
    <w:next w:val="a3"/>
    <w:semiHidden/>
    <w:unhideWhenUsed/>
    <w:rsid w:val="00C20E93"/>
  </w:style>
  <w:style w:type="numbering" w:customStyle="1" w:styleId="240">
    <w:name w:val="Нет списка24"/>
    <w:next w:val="a3"/>
    <w:uiPriority w:val="99"/>
    <w:semiHidden/>
    <w:unhideWhenUsed/>
    <w:rsid w:val="00C20E93"/>
  </w:style>
  <w:style w:type="numbering" w:customStyle="1" w:styleId="250">
    <w:name w:val="Нет списка25"/>
    <w:next w:val="a3"/>
    <w:semiHidden/>
    <w:rsid w:val="00C20E93"/>
  </w:style>
  <w:style w:type="numbering" w:customStyle="1" w:styleId="1140">
    <w:name w:val="Нет списка114"/>
    <w:next w:val="a3"/>
    <w:semiHidden/>
    <w:unhideWhenUsed/>
    <w:rsid w:val="00C20E93"/>
  </w:style>
  <w:style w:type="table" w:customStyle="1" w:styleId="92">
    <w:name w:val="Сетка таблицы9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C20E93"/>
  </w:style>
  <w:style w:type="numbering" w:customStyle="1" w:styleId="115">
    <w:name w:val="Нет списка115"/>
    <w:next w:val="a3"/>
    <w:semiHidden/>
    <w:unhideWhenUsed/>
    <w:rsid w:val="00C20E93"/>
  </w:style>
  <w:style w:type="numbering" w:customStyle="1" w:styleId="270">
    <w:name w:val="Нет списка27"/>
    <w:next w:val="a3"/>
    <w:semiHidden/>
    <w:unhideWhenUsed/>
    <w:rsid w:val="00C20E93"/>
  </w:style>
  <w:style w:type="numbering" w:customStyle="1" w:styleId="116">
    <w:name w:val="Нет списка116"/>
    <w:next w:val="a3"/>
    <w:semiHidden/>
    <w:unhideWhenUsed/>
    <w:rsid w:val="00C20E93"/>
  </w:style>
  <w:style w:type="table" w:customStyle="1" w:styleId="102">
    <w:name w:val="Сетка таблицы10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C20E93"/>
  </w:style>
  <w:style w:type="numbering" w:customStyle="1" w:styleId="117">
    <w:name w:val="Нет списка117"/>
    <w:next w:val="a3"/>
    <w:semiHidden/>
    <w:unhideWhenUsed/>
    <w:rsid w:val="00C2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02AA-71B0-48A3-AD42-65F42237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67</Pages>
  <Words>18433</Words>
  <Characters>105071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14</cp:revision>
  <cp:lastPrinted>2023-11-15T04:01:00Z</cp:lastPrinted>
  <dcterms:created xsi:type="dcterms:W3CDTF">2024-01-18T04:38:00Z</dcterms:created>
  <dcterms:modified xsi:type="dcterms:W3CDTF">2026-06-09T12:12:00Z</dcterms:modified>
</cp:coreProperties>
</file>